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C580F" w14:textId="77777777" w:rsidR="00F21575" w:rsidRDefault="00F21575" w:rsidP="00E670F5">
      <w:pPr>
        <w:spacing w:line="360" w:lineRule="auto"/>
        <w:jc w:val="center"/>
        <w:rPr>
          <w:rFonts w:ascii="Cambria" w:hAnsi="Cambria" w:cs="Calibri Light"/>
          <w:color w:val="000000" w:themeColor="text1"/>
          <w:sz w:val="22"/>
          <w:szCs w:val="22"/>
        </w:rPr>
      </w:pPr>
    </w:p>
    <w:p w14:paraId="499E3DA3" w14:textId="335E16E0" w:rsidR="00EA0942" w:rsidRDefault="00EA0942" w:rsidP="00EA0942">
      <w:pPr>
        <w:suppressAutoHyphens/>
        <w:autoSpaceDE w:val="0"/>
        <w:autoSpaceDN w:val="0"/>
        <w:spacing w:line="236" w:lineRule="atLeast"/>
        <w:ind w:right="49"/>
        <w:jc w:val="right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  <w:lang w:eastAsia="en-US"/>
        </w:rPr>
        <w:t xml:space="preserve">Allegato </w:t>
      </w:r>
      <w:r w:rsidR="009C34FE">
        <w:rPr>
          <w:rFonts w:ascii="Calibri" w:eastAsia="Calibri" w:hAnsi="Calibri" w:cs="Calibri"/>
          <w:b/>
          <w:bCs/>
          <w:color w:val="4472C4"/>
          <w:sz w:val="28"/>
          <w:szCs w:val="28"/>
          <w:lang w:eastAsia="en-US"/>
        </w:rPr>
        <w:t>B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  <w:lang w:eastAsia="en-US"/>
        </w:rPr>
        <w:t>)</w:t>
      </w:r>
    </w:p>
    <w:p w14:paraId="56AF6C4E" w14:textId="77777777" w:rsidR="00EA0942" w:rsidRDefault="00EA0942" w:rsidP="00894DEC">
      <w:pPr>
        <w:suppressAutoHyphens/>
        <w:autoSpaceDE w:val="0"/>
        <w:autoSpaceDN w:val="0"/>
        <w:spacing w:line="236" w:lineRule="atLeast"/>
        <w:ind w:right="49"/>
        <w:jc w:val="center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  <w:lang w:eastAsia="en-US"/>
        </w:rPr>
      </w:pPr>
    </w:p>
    <w:p w14:paraId="0307B08A" w14:textId="77777777" w:rsidR="00894DEC" w:rsidRPr="00894DEC" w:rsidRDefault="00894DEC" w:rsidP="00894DEC">
      <w:pPr>
        <w:suppressAutoHyphens/>
        <w:autoSpaceDE w:val="0"/>
        <w:autoSpaceDN w:val="0"/>
        <w:spacing w:line="236" w:lineRule="atLeast"/>
        <w:ind w:right="49"/>
        <w:jc w:val="center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  <w:lang w:eastAsia="en-US"/>
        </w:rPr>
      </w:pPr>
      <w:r w:rsidRPr="00894DEC">
        <w:rPr>
          <w:rFonts w:ascii="Calibri" w:eastAsia="Calibri" w:hAnsi="Calibri" w:cs="Calibri"/>
          <w:b/>
          <w:bCs/>
          <w:color w:val="4472C4"/>
          <w:sz w:val="28"/>
          <w:szCs w:val="28"/>
          <w:lang w:eastAsia="en-US"/>
        </w:rPr>
        <w:t>Patto di integrità ai sensi dell’art. 1 c. 17 legge 190/2012</w:t>
      </w:r>
    </w:p>
    <w:p w14:paraId="590C57C0" w14:textId="77777777" w:rsidR="00894DEC" w:rsidRPr="00894DEC" w:rsidRDefault="00894DEC" w:rsidP="00894DEC">
      <w:pPr>
        <w:suppressAutoHyphens/>
        <w:autoSpaceDE w:val="0"/>
        <w:autoSpaceDN w:val="0"/>
        <w:spacing w:line="236" w:lineRule="atLeast"/>
        <w:ind w:right="49"/>
        <w:jc w:val="both"/>
        <w:textAlignment w:val="baseline"/>
        <w:rPr>
          <w:rFonts w:ascii="Calibri" w:eastAsia="Calibri" w:hAnsi="Calibri" w:cs="Calibri"/>
          <w:sz w:val="24"/>
          <w:szCs w:val="24"/>
          <w:lang w:eastAsia="en-US"/>
        </w:rPr>
      </w:pPr>
    </w:p>
    <w:p w14:paraId="498F54BE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94DEC">
        <w:rPr>
          <w:rFonts w:ascii="Calibri" w:eastAsia="Calibri" w:hAnsi="Calibri" w:cs="Calibri"/>
          <w:b/>
          <w:bCs/>
          <w:lang w:eastAsia="en-US"/>
        </w:rPr>
        <w:t xml:space="preserve">Articolo 1 </w:t>
      </w:r>
      <w:r w:rsidRPr="00894DEC">
        <w:rPr>
          <w:rFonts w:ascii="Calibri" w:eastAsia="Calibri" w:hAnsi="Calibri" w:cs="Calibri"/>
          <w:lang w:eastAsia="en-US"/>
        </w:rPr>
        <w:t xml:space="preserve">– Il presente Patto d’integrità obbliga la Società e l’operatore economico ad improntare i propri comportamenti ai principi di lealtà, trasparenza e correttezza. </w:t>
      </w:r>
    </w:p>
    <w:p w14:paraId="1AB2CE66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Nel caso l’operatore economico sia un consorzio ordinario, un raggruppamento temporaneo o altra aggregazione d’imprese, le obbligazioni del presente patto investono tutti i partecipanti al consorzio, al raggruppamento, all’aggregazione e devono essere da ciascun componente accettate.</w:t>
      </w:r>
    </w:p>
    <w:p w14:paraId="58A4DC92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</w:p>
    <w:p w14:paraId="47AEABC0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94DEC">
        <w:rPr>
          <w:rFonts w:ascii="Calibri" w:eastAsia="Calibri" w:hAnsi="Calibri" w:cs="Calibri"/>
          <w:b/>
          <w:bCs/>
          <w:lang w:eastAsia="en-US"/>
        </w:rPr>
        <w:t>Articolo 2</w:t>
      </w:r>
      <w:r w:rsidRPr="00894DEC">
        <w:rPr>
          <w:rFonts w:ascii="Calibri" w:eastAsia="Calibri" w:hAnsi="Calibri" w:cs="Calibri"/>
          <w:lang w:eastAsia="en-US"/>
        </w:rPr>
        <w:t xml:space="preserve"> – Il presente Patto di integrità costituisce parte integrante di ogni contratto affidato dalla Società. In caso di aggiudicazione, verrà allegato al contratto d’appalto o all’ordine diretto di acquisto.</w:t>
      </w:r>
    </w:p>
    <w:p w14:paraId="12FFAF02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In sede di gara l’operatore economico, a pena l’esclusione, dichiara di accettare ed approvare la disciplina del presente patto.</w:t>
      </w:r>
    </w:p>
    <w:p w14:paraId="75E9936D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</w:p>
    <w:p w14:paraId="1CC9A32D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94DEC">
        <w:rPr>
          <w:rFonts w:ascii="Calibri" w:eastAsia="Calibri" w:hAnsi="Calibri" w:cs="Calibri"/>
          <w:b/>
          <w:bCs/>
          <w:lang w:eastAsia="en-US"/>
        </w:rPr>
        <w:t>Articolo 3</w:t>
      </w:r>
      <w:r w:rsidRPr="00894DEC">
        <w:rPr>
          <w:rFonts w:ascii="Calibri" w:eastAsia="Calibri" w:hAnsi="Calibri" w:cs="Calibri"/>
          <w:lang w:eastAsia="en-US"/>
        </w:rPr>
        <w:t xml:space="preserve"> – L’Operatore economico: </w:t>
      </w:r>
    </w:p>
    <w:p w14:paraId="7E85C272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 xml:space="preserve">1.dichiara di non aver influenzato in alcun modo, direttamente o indirettamente, la compilazione dei documenti di gara allo scopo di condizionare la scelta dell’aggiudicatario; </w:t>
      </w:r>
    </w:p>
    <w:p w14:paraId="6C818C18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2.dichiara di non aver corrisposto, né promesso di corrispondere ad alcuno, e s’impegna a non corrispondere mai né a promettere mai di corrispondere ad alcuno direttamente o tramite terzi, denaro, regali o altre utilità per agevolare l’aggiudicazione e la gestione del successivo rapporto contrattuale;</w:t>
      </w:r>
    </w:p>
    <w:p w14:paraId="40E85826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3.esclude ogni forma di mediazione, o altra opera di terzi, finalizzata all’aggiudicazione ed alla successiva gestione del rapporto contrattuale;</w:t>
      </w:r>
    </w:p>
    <w:p w14:paraId="2C8A8525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 xml:space="preserve">4.assicura di non trovarsi in situazione di controllo o di collegamento, formale o sostanziale, con altri concorrenti e che non si è accordato, e non si accorderà, con altri partecipanti alla procedura; </w:t>
      </w:r>
    </w:p>
    <w:p w14:paraId="5922A007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 xml:space="preserve">5.assicura di non aver consolidato intese o pratiche vietate restrittive o lesive della concorrenza e del mercato; </w:t>
      </w:r>
    </w:p>
    <w:p w14:paraId="2062003D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6.segnala, al responsabile della prevenzione della corruzione della Società, ogni irregolarità, distorsione, tentativo di turbativa della gara e della successiva gestione del rapporto contrattuale, poste in essere da chiunque e, in particolare, da amministratori, dipendenti o collaboratori della stazione appaltante; al segnalante di applicano, per quanto compatibili, le tutele previste dall’articolo 1 comma 51 della legge n. 190/2012 ed inserite nell’art. 54 bis del d.lgs. 165/2001, come disciplinate dal regolamento interno della Società;</w:t>
      </w:r>
    </w:p>
    <w:p w14:paraId="6AAFF9E0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7.informa i propri collaboratori e dipendenti degli obblighi recati dal presente e vigila affinché detti obblighi siano osservati da tutti i collaboratori e dipendenti;</w:t>
      </w:r>
    </w:p>
    <w:p w14:paraId="7C11FEC8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8.collabora con le forze di pubblica sicurezza, denunciando ogni tentativo di estorsione, intimidazione o condizionamento quali, a titolo d’esempio: richieste di tangenti, pressioni per indirizzare l’assunzione di personale o l’affidamento di subappalti, danneggiamenti o furti di beni personali o in cantiere;</w:t>
      </w:r>
    </w:p>
    <w:p w14:paraId="59683AE3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9.acquisisce, con le stesse modalità e gli stessi adempimenti previsti dalla normativa vigente in materia di subappalto, la preventiva autorizzazione della stazione appaltante;</w:t>
      </w:r>
    </w:p>
    <w:p w14:paraId="0EA7F69A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 xml:space="preserve">10. inserisce le clausole di integrità e anticorruzione di cui sopra nei contratti di subappalto, pena il diniego dell’autorizzazione; </w:t>
      </w:r>
    </w:p>
    <w:p w14:paraId="5CAC2725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11. comunica tempestivamente, alla Prefettura e all’Autorità giudiziaria, tentativi di concussione che si siano, in qualsiasi modo, manifestati nei confronti dell’imprenditore, degli organi sociali o dei dirigenti di impresa; questo adempimento ha natura essenziale ai fini dell’esecuzione del contratto; il relativo inadempimento darà luogo alla risoluzione del contratto stesso, ai sensi dell’art. 1456 del c.c.; medesima risoluzione interverrà ogni qualvolta nei confronti di pubblici amministratori, che abbiano esercitato funzioni relative alla stipula ed esecuzione del contratto, sia disposta misura cautelare o sia intervenuto rinvio a giudizio per il delitto previsto dall’articolo 317 del c.p..</w:t>
      </w:r>
    </w:p>
    <w:p w14:paraId="53668EEE" w14:textId="77777777" w:rsidR="00894DEC" w:rsidRPr="00894DEC" w:rsidRDefault="00894DEC" w:rsidP="00894DEC">
      <w:pPr>
        <w:suppressAutoHyphens/>
        <w:autoSpaceDE w:val="0"/>
        <w:autoSpaceDN w:val="0"/>
        <w:ind w:left="142" w:right="474" w:hanging="283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br w:type="page"/>
      </w:r>
    </w:p>
    <w:p w14:paraId="20862E28" w14:textId="77777777" w:rsidR="00894DEC" w:rsidRPr="00894DEC" w:rsidRDefault="00894DEC" w:rsidP="00894DEC">
      <w:pPr>
        <w:suppressAutoHyphens/>
        <w:autoSpaceDE w:val="0"/>
        <w:autoSpaceDN w:val="0"/>
        <w:ind w:left="142" w:right="474" w:hanging="283"/>
        <w:jc w:val="both"/>
        <w:textAlignment w:val="baseline"/>
        <w:rPr>
          <w:rFonts w:ascii="Calibri" w:eastAsia="Calibri" w:hAnsi="Calibri" w:cs="Calibri"/>
          <w:lang w:eastAsia="en-US"/>
        </w:rPr>
      </w:pPr>
    </w:p>
    <w:p w14:paraId="56A58B5F" w14:textId="77777777" w:rsidR="00894DEC" w:rsidRPr="00894DEC" w:rsidRDefault="00894DEC" w:rsidP="00894DEC">
      <w:pPr>
        <w:suppressAutoHyphens/>
        <w:autoSpaceDE w:val="0"/>
        <w:autoSpaceDN w:val="0"/>
        <w:ind w:left="142" w:right="474" w:hanging="283"/>
        <w:jc w:val="both"/>
        <w:textAlignment w:val="baseline"/>
        <w:rPr>
          <w:rFonts w:ascii="Calibri" w:eastAsia="Calibri" w:hAnsi="Calibri" w:cs="Calibri"/>
          <w:lang w:eastAsia="en-US"/>
        </w:rPr>
      </w:pPr>
    </w:p>
    <w:p w14:paraId="2B1D5A1D" w14:textId="1358DB82" w:rsidR="00EA0942" w:rsidRDefault="00EA0942" w:rsidP="00EA0942">
      <w:pPr>
        <w:suppressAutoHyphens/>
        <w:autoSpaceDE w:val="0"/>
        <w:autoSpaceDN w:val="0"/>
        <w:spacing w:line="236" w:lineRule="atLeast"/>
        <w:ind w:right="49"/>
        <w:jc w:val="right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  <w:lang w:eastAsia="en-US"/>
        </w:rPr>
        <w:t xml:space="preserve">Allegato </w:t>
      </w:r>
      <w:r w:rsidR="009C34FE">
        <w:rPr>
          <w:rFonts w:ascii="Calibri" w:eastAsia="Calibri" w:hAnsi="Calibri" w:cs="Calibri"/>
          <w:b/>
          <w:bCs/>
          <w:color w:val="4472C4"/>
          <w:sz w:val="28"/>
          <w:szCs w:val="28"/>
          <w:lang w:eastAsia="en-US"/>
        </w:rPr>
        <w:t>B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4472C4"/>
          <w:sz w:val="28"/>
          <w:szCs w:val="28"/>
          <w:lang w:eastAsia="en-US"/>
        </w:rPr>
        <w:t>)</w:t>
      </w:r>
    </w:p>
    <w:p w14:paraId="033BB1C4" w14:textId="77777777" w:rsidR="00EA0942" w:rsidRDefault="00EA0942" w:rsidP="00EA0942">
      <w:pPr>
        <w:suppressAutoHyphens/>
        <w:autoSpaceDE w:val="0"/>
        <w:autoSpaceDN w:val="0"/>
        <w:ind w:left="142" w:right="474"/>
        <w:jc w:val="right"/>
        <w:textAlignment w:val="baseline"/>
        <w:rPr>
          <w:rFonts w:ascii="Calibri" w:eastAsia="Calibri" w:hAnsi="Calibri" w:cs="Calibri"/>
          <w:b/>
          <w:bCs/>
          <w:lang w:eastAsia="en-US"/>
        </w:rPr>
      </w:pPr>
    </w:p>
    <w:p w14:paraId="241F544B" w14:textId="77777777" w:rsidR="00EA0942" w:rsidRDefault="00EA0942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b/>
          <w:bCs/>
          <w:lang w:eastAsia="en-US"/>
        </w:rPr>
      </w:pPr>
    </w:p>
    <w:p w14:paraId="60F17B8A" w14:textId="77777777" w:rsidR="00EA0942" w:rsidRDefault="00EA0942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b/>
          <w:bCs/>
          <w:lang w:eastAsia="en-US"/>
        </w:rPr>
      </w:pPr>
    </w:p>
    <w:p w14:paraId="27E0A95C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94DEC">
        <w:rPr>
          <w:rFonts w:ascii="Calibri" w:eastAsia="Calibri" w:hAnsi="Calibri" w:cs="Calibri"/>
          <w:b/>
          <w:bCs/>
          <w:lang w:eastAsia="en-US"/>
        </w:rPr>
        <w:t xml:space="preserve">Articolo 4 </w:t>
      </w:r>
      <w:r w:rsidRPr="00894DEC">
        <w:rPr>
          <w:rFonts w:ascii="Calibri" w:eastAsia="Calibri" w:hAnsi="Calibri" w:cs="Calibri"/>
          <w:lang w:eastAsia="en-US"/>
        </w:rPr>
        <w:t>–</w:t>
      </w:r>
      <w:r w:rsidRPr="00894DEC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894DEC">
        <w:rPr>
          <w:rFonts w:ascii="Calibri" w:eastAsia="Calibri" w:hAnsi="Calibri" w:cs="Calibri"/>
          <w:lang w:eastAsia="en-US"/>
        </w:rPr>
        <w:t xml:space="preserve">La Società: </w:t>
      </w:r>
    </w:p>
    <w:p w14:paraId="70CDECD6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 xml:space="preserve">1.rispetta i principi di lealtà, trasparenza e correttezza; </w:t>
      </w:r>
    </w:p>
    <w:p w14:paraId="2703B359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 xml:space="preserve">2.avvia tempestivamente procedimenti disciplinari nei confronti del personale, intervenuto nella procedura di gara e nell’esecuzione del contratto, in caso di violazione di detti principi; </w:t>
      </w:r>
    </w:p>
    <w:p w14:paraId="54041C7F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3.avvia tempestivamente procedimenti disciplinari nei confronti del personale nel caso di violazione del proprio Codice di comportamento</w:t>
      </w:r>
      <w:r w:rsidRPr="00894DEC">
        <w:rPr>
          <w:rFonts w:ascii="Calibri" w:eastAsia="Calibri" w:hAnsi="Calibri" w:cs="Calibri"/>
          <w:i/>
          <w:iCs/>
          <w:lang w:eastAsia="en-US"/>
        </w:rPr>
        <w:t xml:space="preserve"> </w:t>
      </w:r>
      <w:r w:rsidRPr="00894DEC">
        <w:rPr>
          <w:rFonts w:ascii="Calibri" w:eastAsia="Calibri" w:hAnsi="Calibri" w:cs="Calibri"/>
          <w:lang w:eastAsia="en-US"/>
        </w:rPr>
        <w:t xml:space="preserve">e delle disposizioni di cui al </w:t>
      </w:r>
      <w:proofErr w:type="spellStart"/>
      <w:r w:rsidRPr="00894DEC">
        <w:rPr>
          <w:rFonts w:ascii="Calibri" w:eastAsia="Calibri" w:hAnsi="Calibri" w:cs="Calibri"/>
          <w:lang w:eastAsia="en-US"/>
        </w:rPr>
        <w:t>d.P.R.</w:t>
      </w:r>
      <w:proofErr w:type="spellEnd"/>
      <w:r w:rsidRPr="00894DEC">
        <w:rPr>
          <w:rFonts w:ascii="Calibri" w:eastAsia="Calibri" w:hAnsi="Calibri" w:cs="Calibri"/>
          <w:lang w:eastAsia="en-US"/>
        </w:rPr>
        <w:t xml:space="preserve"> n. 62/2013; </w:t>
      </w:r>
    </w:p>
    <w:p w14:paraId="3CC612B2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4.si avvale della clausola risolutiva espressa, di cui all’art. 1456 c.c., ogni qualvolta nei confronti dell’operatore economico sia stata disposta misura cautelare o sia intervenuto rinvio a giudizio per taluno dei delitti di cui agli articoli 317 c.p., 318 c.p., 319 c.p., 319-</w:t>
      </w:r>
      <w:r w:rsidRPr="00894DEC">
        <w:rPr>
          <w:rFonts w:ascii="Calibri" w:eastAsia="Calibri" w:hAnsi="Calibri" w:cs="Calibri"/>
          <w:i/>
          <w:iCs/>
          <w:lang w:eastAsia="en-US"/>
        </w:rPr>
        <w:t>bis</w:t>
      </w:r>
      <w:r w:rsidRPr="00894DEC">
        <w:rPr>
          <w:rFonts w:ascii="Calibri" w:eastAsia="Calibri" w:hAnsi="Calibri" w:cs="Calibri"/>
          <w:lang w:eastAsia="en-US"/>
        </w:rPr>
        <w:t xml:space="preserve"> c.p., 319-</w:t>
      </w:r>
      <w:r w:rsidRPr="00894DEC">
        <w:rPr>
          <w:rFonts w:ascii="Calibri" w:eastAsia="Calibri" w:hAnsi="Calibri" w:cs="Calibri"/>
          <w:i/>
          <w:iCs/>
          <w:lang w:eastAsia="en-US"/>
        </w:rPr>
        <w:t>ter</w:t>
      </w:r>
      <w:r w:rsidRPr="00894DEC">
        <w:rPr>
          <w:rFonts w:ascii="Calibri" w:eastAsia="Calibri" w:hAnsi="Calibri" w:cs="Calibri"/>
          <w:lang w:eastAsia="en-US"/>
        </w:rPr>
        <w:t xml:space="preserve"> c.p., 319-</w:t>
      </w:r>
      <w:r w:rsidRPr="00894DEC">
        <w:rPr>
          <w:rFonts w:ascii="Calibri" w:eastAsia="Calibri" w:hAnsi="Calibri" w:cs="Calibri"/>
          <w:i/>
          <w:iCs/>
          <w:lang w:eastAsia="en-US"/>
        </w:rPr>
        <w:t>quater</w:t>
      </w:r>
      <w:r w:rsidRPr="00894DEC">
        <w:rPr>
          <w:rFonts w:ascii="Calibri" w:eastAsia="Calibri" w:hAnsi="Calibri" w:cs="Calibri"/>
          <w:lang w:eastAsia="en-US"/>
        </w:rPr>
        <w:t xml:space="preserve"> c.p., 320 c.p., 322 c.p., 322-</w:t>
      </w:r>
      <w:r w:rsidRPr="00894DEC">
        <w:rPr>
          <w:rFonts w:ascii="Calibri" w:eastAsia="Calibri" w:hAnsi="Calibri" w:cs="Calibri"/>
          <w:i/>
          <w:iCs/>
          <w:lang w:eastAsia="en-US"/>
        </w:rPr>
        <w:t>bis</w:t>
      </w:r>
      <w:r w:rsidRPr="00894DEC">
        <w:rPr>
          <w:rFonts w:ascii="Calibri" w:eastAsia="Calibri" w:hAnsi="Calibri" w:cs="Calibri"/>
          <w:lang w:eastAsia="en-US"/>
        </w:rPr>
        <w:t xml:space="preserve"> c.p., 346-</w:t>
      </w:r>
      <w:r w:rsidRPr="00894DEC">
        <w:rPr>
          <w:rFonts w:ascii="Calibri" w:eastAsia="Calibri" w:hAnsi="Calibri" w:cs="Calibri"/>
          <w:i/>
          <w:iCs/>
          <w:lang w:eastAsia="en-US"/>
        </w:rPr>
        <w:t>bis</w:t>
      </w:r>
      <w:r w:rsidRPr="00894DEC">
        <w:rPr>
          <w:rFonts w:ascii="Calibri" w:eastAsia="Calibri" w:hAnsi="Calibri" w:cs="Calibri"/>
          <w:lang w:eastAsia="en-US"/>
        </w:rPr>
        <w:t xml:space="preserve"> c.p., 353 c.p. e 353-</w:t>
      </w:r>
      <w:r w:rsidRPr="00894DEC">
        <w:rPr>
          <w:rFonts w:ascii="Calibri" w:eastAsia="Calibri" w:hAnsi="Calibri" w:cs="Calibri"/>
          <w:i/>
          <w:iCs/>
          <w:lang w:eastAsia="en-US"/>
        </w:rPr>
        <w:t>bis</w:t>
      </w:r>
      <w:r w:rsidRPr="00894DEC">
        <w:rPr>
          <w:rFonts w:ascii="Calibri" w:eastAsia="Calibri" w:hAnsi="Calibri" w:cs="Calibri"/>
          <w:lang w:eastAsia="en-US"/>
        </w:rPr>
        <w:t xml:space="preserve"> c.p., previste dalla l. n. 190/2012 e successivamente modificato dalla l. n. 3/2019.</w:t>
      </w:r>
    </w:p>
    <w:p w14:paraId="15C81959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5.segnala, senza indugio, ogni illecito all’Autorità giudiziaria;</w:t>
      </w:r>
    </w:p>
    <w:p w14:paraId="38812747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6.rende pubblici i dati riguardanti la procedura e l’aggiudicazione in esecuzione della normativa in materia di trasparenza.</w:t>
      </w:r>
    </w:p>
    <w:p w14:paraId="4DCC8E42" w14:textId="77777777" w:rsidR="00894DEC" w:rsidRPr="00894DEC" w:rsidRDefault="00894DEC" w:rsidP="00894DEC">
      <w:pPr>
        <w:suppressAutoHyphens/>
        <w:autoSpaceDE w:val="0"/>
        <w:autoSpaceDN w:val="0"/>
        <w:ind w:left="142" w:right="474" w:hanging="283"/>
        <w:jc w:val="both"/>
        <w:textAlignment w:val="baseline"/>
        <w:rPr>
          <w:rFonts w:ascii="Calibri" w:eastAsia="Calibri" w:hAnsi="Calibri" w:cs="Calibri"/>
          <w:lang w:eastAsia="en-US"/>
        </w:rPr>
      </w:pPr>
    </w:p>
    <w:p w14:paraId="3B7A4E0C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94DEC">
        <w:rPr>
          <w:rFonts w:ascii="Calibri" w:eastAsia="Calibri" w:hAnsi="Calibri" w:cs="Calibri"/>
          <w:b/>
          <w:bCs/>
          <w:lang w:eastAsia="en-US"/>
        </w:rPr>
        <w:t xml:space="preserve">Articolo 5 </w:t>
      </w:r>
      <w:r w:rsidRPr="00894DEC">
        <w:rPr>
          <w:rFonts w:ascii="Calibri" w:eastAsia="Calibri" w:hAnsi="Calibri" w:cs="Calibri"/>
          <w:lang w:eastAsia="en-US"/>
        </w:rPr>
        <w:t>–</w:t>
      </w:r>
      <w:r w:rsidRPr="00894DEC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894DEC">
        <w:rPr>
          <w:rFonts w:ascii="Calibri" w:eastAsia="Calibri" w:hAnsi="Calibri" w:cs="Calibri"/>
          <w:lang w:eastAsia="en-US"/>
        </w:rPr>
        <w:t xml:space="preserve">La violazione del Patto di integrità è disposta dalla Società a conclusione di un procedimento di verifica imparziale, nel quale è assicurata all’operatore economico la possibilità di presentare le proprie difese. </w:t>
      </w:r>
    </w:p>
    <w:p w14:paraId="5E10F48E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La violazione da parte dell’operatore economico di uno degli impegni previsti dal presente patto, in relazione alla gravità della condotta accertata caso per caso, può comportare:</w:t>
      </w:r>
    </w:p>
    <w:p w14:paraId="4B82CF64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1.l’esclusione dalla gara;</w:t>
      </w:r>
    </w:p>
    <w:p w14:paraId="745B0711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2.l’escussione della cauzione provvisoria a corredo dell’offerta;</w:t>
      </w:r>
    </w:p>
    <w:p w14:paraId="632B0BEA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3.la risoluzione espressa del contratto ai sensi dell’articolo 1456 del c.c., per grave inadempimento e in danno dell’operatore economico;</w:t>
      </w:r>
    </w:p>
    <w:p w14:paraId="0574E9DA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4.l’escussione della cauzione definitiva a garanzia dell’esecuzione del contratto, impregiudicata la prova dell’esistenza di un danno maggiore;</w:t>
      </w:r>
    </w:p>
    <w:p w14:paraId="713BFB80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5.la responsabilità per danno arrecato alla Società nella misura del 10% del valore del contratto (se non coperto dall’incameramento della cauzione definitiva), impregiudicata la prova dell’esistenza di un danno maggiore;</w:t>
      </w:r>
    </w:p>
    <w:p w14:paraId="252C5D41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6.l’esclusione del concorrente dalle gare indette dalla Società per un periodo non inferiore ad un anno e non superiore a tre anni, determinato in ragione della gravità dei fatti accertati e dell’entità economica del contratto;</w:t>
      </w:r>
    </w:p>
    <w:p w14:paraId="320254EA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7.la segnalazione all’Autorità nazionale anticorruzione e all’Autorità giudiziaria.</w:t>
      </w:r>
    </w:p>
    <w:p w14:paraId="1E8067BB" w14:textId="77777777" w:rsidR="00894DEC" w:rsidRPr="00894DEC" w:rsidRDefault="00894DEC" w:rsidP="00894DEC">
      <w:pPr>
        <w:suppressAutoHyphens/>
        <w:autoSpaceDE w:val="0"/>
        <w:autoSpaceDN w:val="0"/>
        <w:ind w:left="142" w:right="474" w:hanging="283"/>
        <w:jc w:val="both"/>
        <w:textAlignment w:val="baseline"/>
        <w:rPr>
          <w:rFonts w:ascii="Calibri" w:eastAsia="Calibri" w:hAnsi="Calibri" w:cs="Calibri"/>
          <w:lang w:eastAsia="en-US"/>
        </w:rPr>
      </w:pPr>
    </w:p>
    <w:p w14:paraId="3F1838CA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94DEC">
        <w:rPr>
          <w:rFonts w:ascii="Calibri" w:eastAsia="Calibri" w:hAnsi="Calibri" w:cs="Calibri"/>
          <w:b/>
          <w:bCs/>
          <w:lang w:eastAsia="en-US"/>
        </w:rPr>
        <w:t xml:space="preserve">Articolo 6 </w:t>
      </w:r>
      <w:r w:rsidRPr="00894DEC">
        <w:rPr>
          <w:rFonts w:ascii="Calibri" w:eastAsia="Calibri" w:hAnsi="Calibri" w:cs="Calibri"/>
          <w:lang w:eastAsia="en-US"/>
        </w:rPr>
        <w:t>– Il presente</w:t>
      </w:r>
      <w:r w:rsidRPr="00894DEC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894DEC">
        <w:rPr>
          <w:rFonts w:ascii="Calibri" w:eastAsia="Calibri" w:hAnsi="Calibri" w:cs="Calibri"/>
          <w:lang w:eastAsia="en-US"/>
        </w:rPr>
        <w:t>patto vincola l’operatore economico per tutta la durata della procedura di gara e, in caso di aggiudicazione, sino al completamento della prestazione contrattuale pattuita.</w:t>
      </w:r>
    </w:p>
    <w:p w14:paraId="1F477EA4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</w:p>
    <w:p w14:paraId="14D22A94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Per espressa accettazione delle disposizioni previste, in particolare agli artt. 3,5 e 6.</w:t>
      </w:r>
    </w:p>
    <w:p w14:paraId="5DB830CD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</w:p>
    <w:p w14:paraId="7E351BC9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Luogo/data _______/___________</w:t>
      </w:r>
    </w:p>
    <w:p w14:paraId="5677DCC3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 w:cs="Calibri"/>
          <w:lang w:eastAsia="en-US"/>
        </w:rPr>
      </w:pPr>
    </w:p>
    <w:p w14:paraId="4F5D10A9" w14:textId="77777777" w:rsidR="00894DEC" w:rsidRPr="00894DEC" w:rsidRDefault="00894DEC" w:rsidP="00894DEC">
      <w:pPr>
        <w:suppressAutoHyphens/>
        <w:autoSpaceDE w:val="0"/>
        <w:autoSpaceDN w:val="0"/>
        <w:ind w:left="142" w:right="474"/>
        <w:jc w:val="both"/>
        <w:textAlignment w:val="baseline"/>
        <w:rPr>
          <w:rFonts w:ascii="Calibri" w:eastAsia="Calibri" w:hAnsi="Calibri"/>
          <w:sz w:val="24"/>
          <w:szCs w:val="24"/>
          <w:lang w:eastAsia="en-US"/>
        </w:rPr>
      </w:pPr>
      <w:r w:rsidRPr="00894DEC">
        <w:rPr>
          <w:rFonts w:ascii="Calibri" w:eastAsia="Calibri" w:hAnsi="Calibri" w:cs="Calibri"/>
          <w:lang w:eastAsia="en-US"/>
        </w:rPr>
        <w:t>L’operatore economico _________________</w:t>
      </w:r>
    </w:p>
    <w:p w14:paraId="66A30500" w14:textId="77777777" w:rsidR="00C774DD" w:rsidRDefault="00C774DD" w:rsidP="00EC0A0E">
      <w:pPr>
        <w:spacing w:line="360" w:lineRule="auto"/>
        <w:jc w:val="both"/>
        <w:rPr>
          <w:rFonts w:ascii="Cambria" w:hAnsi="Cambria" w:cs="Calibri Light"/>
          <w:color w:val="000000" w:themeColor="text1"/>
          <w:sz w:val="22"/>
          <w:szCs w:val="22"/>
        </w:rPr>
      </w:pPr>
    </w:p>
    <w:p w14:paraId="65D58EC8" w14:textId="77777777" w:rsidR="00C774DD" w:rsidRPr="00C774DD" w:rsidRDefault="00C774DD" w:rsidP="009A141E">
      <w:pPr>
        <w:spacing w:before="240" w:line="360" w:lineRule="auto"/>
        <w:jc w:val="center"/>
        <w:rPr>
          <w:rFonts w:ascii="Cambria" w:hAnsi="Cambria" w:cs="Calibri Light"/>
          <w:color w:val="000000" w:themeColor="text1"/>
          <w:sz w:val="22"/>
          <w:szCs w:val="22"/>
        </w:rPr>
      </w:pPr>
    </w:p>
    <w:sectPr w:rsidR="00C774DD" w:rsidRPr="00C774DD" w:rsidSect="007064B8">
      <w:headerReference w:type="default" r:id="rId8"/>
      <w:footerReference w:type="default" r:id="rId9"/>
      <w:pgSz w:w="11906" w:h="16838" w:code="9"/>
      <w:pgMar w:top="1418" w:right="794" w:bottom="851" w:left="794" w:header="45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3E00" w14:textId="77777777" w:rsidR="002E3C25" w:rsidRPr="00A4434F" w:rsidRDefault="002E3C25" w:rsidP="00DF39AB">
      <w:r>
        <w:separator/>
      </w:r>
    </w:p>
  </w:endnote>
  <w:endnote w:type="continuationSeparator" w:id="0">
    <w:p w14:paraId="4135DEA0" w14:textId="77777777" w:rsidR="002E3C25" w:rsidRPr="00A4434F" w:rsidRDefault="002E3C25" w:rsidP="00DF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DCE5D" w14:textId="54160A44" w:rsidR="00A86A45" w:rsidRPr="009006B8" w:rsidRDefault="00534E61" w:rsidP="00882FB1">
    <w:pPr>
      <w:pStyle w:val="Pidipagina"/>
      <w:spacing w:line="288" w:lineRule="auto"/>
      <w:rPr>
        <w:rFonts w:ascii="Univers Condensed" w:hAnsi="Univers Condensed" w:cs="Segoe UI"/>
        <w:color w:val="0070C0"/>
        <w:sz w:val="22"/>
        <w:szCs w:val="22"/>
        <w:lang w:val="en-US"/>
      </w:rPr>
    </w:pPr>
    <w:r>
      <w:rPr>
        <w:rFonts w:ascii="Univers Condensed" w:hAnsi="Univers Condensed" w:cs="Segoe UI"/>
        <w:noProof/>
        <w:color w:val="0070C0"/>
        <w:sz w:val="22"/>
        <w:szCs w:val="22"/>
      </w:rPr>
      <w:drawing>
        <wp:inline distT="0" distB="0" distL="0" distR="0" wp14:anchorId="6C94BED2" wp14:editId="76038F46">
          <wp:extent cx="6551930" cy="863432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30" cy="863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C7709" w14:textId="77777777" w:rsidR="002E3C25" w:rsidRPr="00A4434F" w:rsidRDefault="002E3C25" w:rsidP="00DF39AB">
      <w:r>
        <w:separator/>
      </w:r>
    </w:p>
  </w:footnote>
  <w:footnote w:type="continuationSeparator" w:id="0">
    <w:p w14:paraId="66C70F83" w14:textId="77777777" w:rsidR="002E3C25" w:rsidRPr="00A4434F" w:rsidRDefault="002E3C25" w:rsidP="00DF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6205" w14:textId="1FF5B62F" w:rsidR="00A86A45" w:rsidRDefault="007064B8" w:rsidP="00BF34DB">
    <w:pPr>
      <w:pStyle w:val="Intestazione"/>
    </w:pPr>
    <w:r>
      <w:rPr>
        <w:noProof/>
      </w:rPr>
      <w:drawing>
        <wp:inline distT="0" distB="0" distL="0" distR="0" wp14:anchorId="305AE2D8" wp14:editId="762C74B7">
          <wp:extent cx="6551927" cy="770815"/>
          <wp:effectExtent l="0" t="0" r="1905" b="444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927" cy="77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C0D"/>
    <w:multiLevelType w:val="hybridMultilevel"/>
    <w:tmpl w:val="F0EC3C5E"/>
    <w:lvl w:ilvl="0" w:tplc="5B8C7A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7855"/>
    <w:multiLevelType w:val="hybridMultilevel"/>
    <w:tmpl w:val="95788E26"/>
    <w:lvl w:ilvl="0" w:tplc="C48E363E"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4769"/>
    <w:multiLevelType w:val="singleLevel"/>
    <w:tmpl w:val="F37C8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6B9633DF"/>
    <w:multiLevelType w:val="hybridMultilevel"/>
    <w:tmpl w:val="857A4186"/>
    <w:lvl w:ilvl="0" w:tplc="C48E363E"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59"/>
    <w:rsid w:val="00047753"/>
    <w:rsid w:val="000A2068"/>
    <w:rsid w:val="000C05FE"/>
    <w:rsid w:val="000C6F3E"/>
    <w:rsid w:val="00136D6B"/>
    <w:rsid w:val="001531FE"/>
    <w:rsid w:val="001978C8"/>
    <w:rsid w:val="00200221"/>
    <w:rsid w:val="002163AA"/>
    <w:rsid w:val="002824FC"/>
    <w:rsid w:val="002D2937"/>
    <w:rsid w:val="002E3C25"/>
    <w:rsid w:val="00331799"/>
    <w:rsid w:val="00384A96"/>
    <w:rsid w:val="00391406"/>
    <w:rsid w:val="00400C19"/>
    <w:rsid w:val="00403324"/>
    <w:rsid w:val="00413EB1"/>
    <w:rsid w:val="004B1D75"/>
    <w:rsid w:val="004E3985"/>
    <w:rsid w:val="00534E61"/>
    <w:rsid w:val="00546F47"/>
    <w:rsid w:val="005D64A8"/>
    <w:rsid w:val="005F53C0"/>
    <w:rsid w:val="006821EA"/>
    <w:rsid w:val="006A1A47"/>
    <w:rsid w:val="007064B8"/>
    <w:rsid w:val="0072466D"/>
    <w:rsid w:val="007318AB"/>
    <w:rsid w:val="00740273"/>
    <w:rsid w:val="0076134A"/>
    <w:rsid w:val="007959F0"/>
    <w:rsid w:val="00822EBC"/>
    <w:rsid w:val="00845CBC"/>
    <w:rsid w:val="00882FB1"/>
    <w:rsid w:val="00894DEC"/>
    <w:rsid w:val="008B2860"/>
    <w:rsid w:val="008B67F2"/>
    <w:rsid w:val="008D329D"/>
    <w:rsid w:val="008F3B89"/>
    <w:rsid w:val="009006B8"/>
    <w:rsid w:val="0096756C"/>
    <w:rsid w:val="00980573"/>
    <w:rsid w:val="0099378F"/>
    <w:rsid w:val="009A141E"/>
    <w:rsid w:val="009A4D47"/>
    <w:rsid w:val="009C34FE"/>
    <w:rsid w:val="009C3A63"/>
    <w:rsid w:val="009F4674"/>
    <w:rsid w:val="00A14ECF"/>
    <w:rsid w:val="00A254D9"/>
    <w:rsid w:val="00A455CF"/>
    <w:rsid w:val="00A8349C"/>
    <w:rsid w:val="00A86A45"/>
    <w:rsid w:val="00A87D18"/>
    <w:rsid w:val="00A94803"/>
    <w:rsid w:val="00B06BA7"/>
    <w:rsid w:val="00B24390"/>
    <w:rsid w:val="00BC68B8"/>
    <w:rsid w:val="00BE7FC6"/>
    <w:rsid w:val="00BF34DB"/>
    <w:rsid w:val="00C025C5"/>
    <w:rsid w:val="00C062FD"/>
    <w:rsid w:val="00C12E5F"/>
    <w:rsid w:val="00C55A59"/>
    <w:rsid w:val="00C774DD"/>
    <w:rsid w:val="00CA69F1"/>
    <w:rsid w:val="00CB3C76"/>
    <w:rsid w:val="00CF1377"/>
    <w:rsid w:val="00D26B94"/>
    <w:rsid w:val="00D306A6"/>
    <w:rsid w:val="00D62AE4"/>
    <w:rsid w:val="00DB5A01"/>
    <w:rsid w:val="00DF39AB"/>
    <w:rsid w:val="00E11BA7"/>
    <w:rsid w:val="00E2001F"/>
    <w:rsid w:val="00E43069"/>
    <w:rsid w:val="00E52897"/>
    <w:rsid w:val="00E670F5"/>
    <w:rsid w:val="00E8253D"/>
    <w:rsid w:val="00E925B1"/>
    <w:rsid w:val="00EA0942"/>
    <w:rsid w:val="00EC0A0E"/>
    <w:rsid w:val="00EE2045"/>
    <w:rsid w:val="00F12967"/>
    <w:rsid w:val="00F21575"/>
    <w:rsid w:val="00F34EB0"/>
    <w:rsid w:val="00F84D90"/>
    <w:rsid w:val="00F95F94"/>
    <w:rsid w:val="00FA1C77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775ED"/>
  <w15:docId w15:val="{6A114CB8-4AAD-4D0A-BB7A-38340F88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2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740273"/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38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F39AB"/>
    <w:pPr>
      <w:jc w:val="both"/>
    </w:pPr>
    <w:rPr>
      <w:rFonts w:ascii="Tahoma" w:hAnsi="Tahoma"/>
    </w:rPr>
  </w:style>
  <w:style w:type="character" w:customStyle="1" w:styleId="CorpotestoCarattere">
    <w:name w:val="Corpo testo Carattere"/>
    <w:basedOn w:val="Carpredefinitoparagrafo"/>
    <w:link w:val="Corpotesto"/>
    <w:rsid w:val="00DF39AB"/>
    <w:rPr>
      <w:rFonts w:ascii="Tahoma" w:hAnsi="Tahoma"/>
    </w:rPr>
  </w:style>
  <w:style w:type="paragraph" w:styleId="Intestazione">
    <w:name w:val="header"/>
    <w:basedOn w:val="Normale"/>
    <w:link w:val="IntestazioneCarattere"/>
    <w:unhideWhenUsed/>
    <w:rsid w:val="00DF3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39AB"/>
  </w:style>
  <w:style w:type="paragraph" w:styleId="Pidipagina">
    <w:name w:val="footer"/>
    <w:basedOn w:val="Normale"/>
    <w:link w:val="PidipaginaCarattere"/>
    <w:unhideWhenUsed/>
    <w:rsid w:val="00DF3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F39AB"/>
  </w:style>
  <w:style w:type="character" w:styleId="Numeropagina">
    <w:name w:val="page number"/>
    <w:basedOn w:val="Carpredefinitoparagrafo"/>
    <w:rsid w:val="009F4674"/>
  </w:style>
  <w:style w:type="character" w:customStyle="1" w:styleId="TestonormaleCarattere">
    <w:name w:val="Testo normale Carattere"/>
    <w:basedOn w:val="Carpredefinitoparagrafo"/>
    <w:link w:val="Testonormale"/>
    <w:semiHidden/>
    <w:rsid w:val="0099378F"/>
    <w:rPr>
      <w:rFonts w:ascii="Courier New" w:hAnsi="Courier New"/>
    </w:rPr>
  </w:style>
  <w:style w:type="character" w:styleId="Collegamentoipertestuale">
    <w:name w:val="Hyperlink"/>
    <w:basedOn w:val="Carpredefinitoparagrafo"/>
    <w:rsid w:val="001531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001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F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oduli%20qualit&#224;\lettere%20di%20incarico\modelli%20contratti\PROFESSIONISTI_REV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26C9-C7B1-4A17-912E-BE19DE25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PROFESSIONISTI_REV1</Template>
  <TotalTime>2</TotalTime>
  <Pages>2</Pages>
  <Words>921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Sig</vt:lpstr>
    </vt:vector>
  </TitlesOfParts>
  <Company>CFP LORENZINI</Company>
  <LinksUpToDate>false</LinksUpToDate>
  <CharactersWithSpaces>6725</CharactersWithSpaces>
  <SharedDoc>false</SharedDoc>
  <HLinks>
    <vt:vector size="12" baseType="variant">
      <vt:variant>
        <vt:i4>720932</vt:i4>
      </vt:variant>
      <vt:variant>
        <vt:i4>9</vt:i4>
      </vt:variant>
      <vt:variant>
        <vt:i4>0</vt:i4>
      </vt:variant>
      <vt:variant>
        <vt:i4>5</vt:i4>
      </vt:variant>
      <vt:variant>
        <vt:lpwstr>mailto:cfpbr@cfpbr.it</vt:lpwstr>
      </vt:variant>
      <vt:variant>
        <vt:lpwstr/>
      </vt:variant>
      <vt:variant>
        <vt:i4>786446</vt:i4>
      </vt:variant>
      <vt:variant>
        <vt:i4>6</vt:i4>
      </vt:variant>
      <vt:variant>
        <vt:i4>0</vt:i4>
      </vt:variant>
      <vt:variant>
        <vt:i4>5</vt:i4>
      </vt:variant>
      <vt:variant>
        <vt:lpwstr>http://www.cfpbr.it/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</dc:title>
  <dc:subject/>
  <dc:creator>s.mori</dc:creator>
  <cp:keywords/>
  <cp:lastModifiedBy>Stefania Mori</cp:lastModifiedBy>
  <cp:revision>5</cp:revision>
  <cp:lastPrinted>2022-02-25T12:05:00Z</cp:lastPrinted>
  <dcterms:created xsi:type="dcterms:W3CDTF">2022-10-27T07:02:00Z</dcterms:created>
  <dcterms:modified xsi:type="dcterms:W3CDTF">2022-11-08T14:09:00Z</dcterms:modified>
</cp:coreProperties>
</file>